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6" w:type="dxa"/>
        <w:tblLayout w:type="fixed"/>
        <w:tblLook w:val="01E0" w:firstRow="1" w:lastRow="1" w:firstColumn="1" w:lastColumn="1" w:noHBand="0" w:noVBand="0"/>
      </w:tblPr>
      <w:tblGrid>
        <w:gridCol w:w="468"/>
        <w:gridCol w:w="9828"/>
      </w:tblGrid>
      <w:tr w:rsidR="00ED7627" w:rsidRPr="001F7402" w14:paraId="03ECD7C2" w14:textId="77777777" w:rsidTr="008870B1">
        <w:tc>
          <w:tcPr>
            <w:tcW w:w="468" w:type="dxa"/>
          </w:tcPr>
          <w:p w14:paraId="39F2F692" w14:textId="77777777" w:rsidR="00ED7627" w:rsidRPr="001F7402" w:rsidRDefault="00ED7627" w:rsidP="00A452E1">
            <w:pPr>
              <w:pStyle w:val="Heading1"/>
              <w:numPr>
                <w:ilvl w:val="0"/>
                <w:numId w:val="23"/>
              </w:numPr>
              <w:rPr>
                <w:rFonts w:cs="Arial"/>
                <w:sz w:val="22"/>
                <w:szCs w:val="22"/>
              </w:rPr>
            </w:pPr>
            <w:r w:rsidRPr="001F7402">
              <w:rPr>
                <w:rFonts w:cs="Arial"/>
                <w:sz w:val="22"/>
                <w:szCs w:val="22"/>
              </w:rPr>
              <w:t xml:space="preserve"> </w:t>
            </w:r>
          </w:p>
        </w:tc>
        <w:tc>
          <w:tcPr>
            <w:tcW w:w="9828" w:type="dxa"/>
          </w:tcPr>
          <w:p w14:paraId="087B7965" w14:textId="720AFEEE" w:rsidR="00C84815" w:rsidRPr="001F7402" w:rsidRDefault="00857A9B" w:rsidP="008870B1">
            <w:pPr>
              <w:spacing w:after="240"/>
              <w:rPr>
                <w:rFonts w:cs="Arial"/>
                <w:szCs w:val="22"/>
              </w:rPr>
            </w:pPr>
            <w:r w:rsidRPr="001F7402">
              <w:rPr>
                <w:rFonts w:cs="Arial"/>
                <w:b/>
                <w:sz w:val="22"/>
                <w:szCs w:val="22"/>
              </w:rPr>
              <w:t>PURPOSE:</w:t>
            </w:r>
            <w:r w:rsidR="00C84815" w:rsidRPr="001F7402">
              <w:rPr>
                <w:rFonts w:cs="Arial"/>
                <w:b/>
                <w:sz w:val="22"/>
                <w:szCs w:val="22"/>
              </w:rPr>
              <w:t xml:space="preserve"> </w:t>
            </w:r>
            <w:r w:rsidR="008870B1">
              <w:rPr>
                <w:rFonts w:cs="Arial"/>
                <w:b/>
                <w:sz w:val="22"/>
                <w:szCs w:val="22"/>
              </w:rPr>
              <w:t xml:space="preserve"> </w:t>
            </w:r>
            <w:r w:rsidR="008870B1">
              <w:t xml:space="preserve">The purpose of this </w:t>
            </w:r>
            <w:r w:rsidR="008B2300">
              <w:t xml:space="preserve">summary </w:t>
            </w:r>
            <w:r w:rsidR="008870B1">
              <w:t xml:space="preserve">Policy is to describe the manner in which Behavioral Center of MI &amp; Samaritan Behavioral Center identify and provide financial assistance to uninsured patients and to patients who need help paying their hospital bills. </w:t>
            </w:r>
          </w:p>
        </w:tc>
      </w:tr>
    </w:tbl>
    <w:p w14:paraId="09FAE98C" w14:textId="77777777" w:rsidR="00ED7627" w:rsidRPr="001F7402" w:rsidRDefault="00ED7627" w:rsidP="00775C96">
      <w:pPr>
        <w:rPr>
          <w:rFonts w:cs="Arial"/>
          <w:sz w:val="22"/>
          <w:szCs w:val="22"/>
        </w:rPr>
      </w:pPr>
    </w:p>
    <w:p w14:paraId="79DE57C1" w14:textId="72DE6FA2" w:rsidR="00ED7627" w:rsidRPr="001F7402" w:rsidRDefault="00C84815" w:rsidP="00775C96">
      <w:pPr>
        <w:pStyle w:val="Heading1"/>
        <w:numPr>
          <w:ilvl w:val="0"/>
          <w:numId w:val="0"/>
        </w:numPr>
        <w:rPr>
          <w:rFonts w:cs="Arial"/>
          <w:sz w:val="22"/>
          <w:szCs w:val="22"/>
        </w:rPr>
      </w:pPr>
      <w:r w:rsidRPr="001F7402">
        <w:rPr>
          <w:rFonts w:cs="Arial"/>
          <w:sz w:val="22"/>
          <w:szCs w:val="22"/>
        </w:rPr>
        <w:t>II. POLICY:</w:t>
      </w:r>
    </w:p>
    <w:p w14:paraId="43C2DFB4" w14:textId="59CC455D" w:rsidR="00857A9B" w:rsidRDefault="008B2300" w:rsidP="00857A9B">
      <w:pPr>
        <w:ind w:left="360"/>
        <w:rPr>
          <w:rFonts w:cs="Arial"/>
        </w:rPr>
      </w:pPr>
      <w:r>
        <w:t>It</w:t>
      </w:r>
      <w:r w:rsidR="008870B1">
        <w:t xml:space="preserve"> is the policy of the hospitals to provide financial assistance for in patient mental health services and other Medically Necessary Care to individuals who qualify for such assistance under this Policy</w:t>
      </w:r>
      <w:r>
        <w:t>.</w:t>
      </w:r>
    </w:p>
    <w:p w14:paraId="5C7EEEA6" w14:textId="393F170D" w:rsidR="008870B1" w:rsidRDefault="008870B1" w:rsidP="00857A9B">
      <w:pPr>
        <w:ind w:left="360"/>
        <w:rPr>
          <w:rFonts w:cs="Arial"/>
        </w:rPr>
      </w:pPr>
    </w:p>
    <w:p w14:paraId="0B0576C2" w14:textId="53B93783" w:rsidR="00FC0D85" w:rsidRPr="00FC0D85" w:rsidRDefault="00FC0D85" w:rsidP="00FC0D85">
      <w:pPr>
        <w:rPr>
          <w:sz w:val="22"/>
          <w:szCs w:val="18"/>
        </w:rPr>
      </w:pPr>
      <w:r w:rsidRPr="00F519DF">
        <w:rPr>
          <w:b/>
          <w:bCs/>
          <w:sz w:val="22"/>
          <w:szCs w:val="18"/>
        </w:rPr>
        <w:t>III. DEFINITIONS:</w:t>
      </w:r>
      <w:r w:rsidR="008B2300">
        <w:rPr>
          <w:b/>
          <w:bCs/>
          <w:sz w:val="22"/>
          <w:szCs w:val="18"/>
        </w:rPr>
        <w:t xml:space="preserve">  </w:t>
      </w:r>
      <w:r w:rsidR="008B2300">
        <w:rPr>
          <w:sz w:val="22"/>
          <w:szCs w:val="18"/>
        </w:rPr>
        <w:t xml:space="preserve">Definitions for </w:t>
      </w:r>
      <w:r w:rsidRPr="00FC0D85">
        <w:rPr>
          <w:sz w:val="22"/>
          <w:szCs w:val="18"/>
        </w:rPr>
        <w:t>Amounts Generally Billed or AGB</w:t>
      </w:r>
      <w:r w:rsidR="008B2300">
        <w:rPr>
          <w:sz w:val="22"/>
          <w:szCs w:val="18"/>
        </w:rPr>
        <w:t xml:space="preserve">, </w:t>
      </w:r>
      <w:r w:rsidRPr="00FC0D85">
        <w:rPr>
          <w:sz w:val="22"/>
          <w:szCs w:val="18"/>
        </w:rPr>
        <w:t>AGB Percentage</w:t>
      </w:r>
      <w:r w:rsidR="008B2300">
        <w:rPr>
          <w:sz w:val="22"/>
          <w:szCs w:val="18"/>
        </w:rPr>
        <w:t xml:space="preserve">, </w:t>
      </w:r>
      <w:r w:rsidRPr="00FC0D85">
        <w:rPr>
          <w:sz w:val="22"/>
          <w:szCs w:val="18"/>
        </w:rPr>
        <w:t>Family</w:t>
      </w:r>
      <w:r w:rsidR="008B2300">
        <w:rPr>
          <w:sz w:val="22"/>
          <w:szCs w:val="18"/>
        </w:rPr>
        <w:t xml:space="preserve">, </w:t>
      </w:r>
      <w:r w:rsidRPr="00FC0D85">
        <w:rPr>
          <w:sz w:val="22"/>
          <w:szCs w:val="18"/>
        </w:rPr>
        <w:t>Family Assets</w:t>
      </w:r>
      <w:r w:rsidR="008B2300">
        <w:rPr>
          <w:sz w:val="22"/>
          <w:szCs w:val="18"/>
        </w:rPr>
        <w:t xml:space="preserve">, </w:t>
      </w:r>
      <w:r w:rsidRPr="00FC0D85">
        <w:rPr>
          <w:sz w:val="22"/>
          <w:szCs w:val="18"/>
        </w:rPr>
        <w:t>Family Income</w:t>
      </w:r>
      <w:r w:rsidR="008B2300">
        <w:rPr>
          <w:sz w:val="22"/>
          <w:szCs w:val="18"/>
        </w:rPr>
        <w:t xml:space="preserve">, </w:t>
      </w:r>
      <w:r w:rsidRPr="00FC0D85">
        <w:rPr>
          <w:sz w:val="22"/>
          <w:szCs w:val="18"/>
        </w:rPr>
        <w:t>Gross Charges</w:t>
      </w:r>
      <w:r w:rsidR="008B2300">
        <w:rPr>
          <w:sz w:val="22"/>
          <w:szCs w:val="18"/>
        </w:rPr>
        <w:t xml:space="preserve">, </w:t>
      </w:r>
      <w:r w:rsidRPr="00FC0D85">
        <w:rPr>
          <w:sz w:val="22"/>
          <w:szCs w:val="18"/>
        </w:rPr>
        <w:t>Guarantor</w:t>
      </w:r>
      <w:r w:rsidR="008B2300">
        <w:rPr>
          <w:sz w:val="22"/>
          <w:szCs w:val="18"/>
        </w:rPr>
        <w:t xml:space="preserve">, </w:t>
      </w:r>
      <w:r w:rsidRPr="00FC0D85">
        <w:rPr>
          <w:sz w:val="22"/>
          <w:szCs w:val="18"/>
        </w:rPr>
        <w:t>Medically Necessary Care</w:t>
      </w:r>
      <w:r w:rsidR="008B2300">
        <w:rPr>
          <w:sz w:val="22"/>
          <w:szCs w:val="18"/>
        </w:rPr>
        <w:t xml:space="preserve">, and </w:t>
      </w:r>
      <w:r w:rsidRPr="00FC0D85">
        <w:rPr>
          <w:sz w:val="22"/>
          <w:szCs w:val="18"/>
        </w:rPr>
        <w:t>Uninsured Patient</w:t>
      </w:r>
      <w:r w:rsidR="008B2300">
        <w:rPr>
          <w:sz w:val="22"/>
          <w:szCs w:val="18"/>
        </w:rPr>
        <w:t xml:space="preserve"> are all included in the Financial Assistant Policy (FAP).</w:t>
      </w:r>
    </w:p>
    <w:p w14:paraId="446411FB" w14:textId="46FF9AB1" w:rsidR="008870B1" w:rsidRDefault="008870B1" w:rsidP="00857A9B">
      <w:pPr>
        <w:ind w:left="360"/>
        <w:rPr>
          <w:rFonts w:cs="Arial"/>
        </w:rPr>
      </w:pPr>
    </w:p>
    <w:p w14:paraId="6997DD2B" w14:textId="3D9F2D66" w:rsidR="00F519DF" w:rsidRPr="00F519DF" w:rsidRDefault="00F519DF" w:rsidP="00672EF9">
      <w:pPr>
        <w:rPr>
          <w:sz w:val="22"/>
          <w:szCs w:val="22"/>
        </w:rPr>
      </w:pPr>
      <w:r w:rsidRPr="00F519DF">
        <w:rPr>
          <w:b/>
          <w:bCs/>
          <w:sz w:val="22"/>
          <w:szCs w:val="22"/>
        </w:rPr>
        <w:t>IV. PROCEDURE:</w:t>
      </w:r>
      <w:r w:rsidRPr="00F519DF">
        <w:rPr>
          <w:sz w:val="22"/>
          <w:szCs w:val="22"/>
        </w:rPr>
        <w:t xml:space="preserve"> A. Hospital staff responsible for scheduling appointments or admissions should refer all patients without insurance and unable to pay for care to a billing specialist to determine eligibility for financial assistance. Patients with insurance who cannot afford to pay their share of the total amount due should also be referred to a billing specialist.  Eligibility for financial assistance in the form of a charity care adjustment is based on the patient's demonstrated inability to pay for services or items due to inadequate financial resources. A patient is not eligible for financial assistance in the form of a charity care adjustment under this Policy if the patient's Family Assets are valued at $50,000 or more, regardless of the patient's Family Income. b. A patient with Family Assets valued at less than $50,000 who satisfies the following criteria will qualify for financial assistance in the form of a charity care adjustment of amounts owed for IP Mental Health or other Medically Necessary Care by the patient (but not on amounts owed by a third-party payor), based on a sliding scale</w:t>
      </w:r>
      <w:r w:rsidR="00A37098">
        <w:rPr>
          <w:sz w:val="22"/>
          <w:szCs w:val="22"/>
        </w:rPr>
        <w:t>.</w:t>
      </w:r>
      <w:r w:rsidR="00672EF9">
        <w:rPr>
          <w:sz w:val="22"/>
          <w:szCs w:val="22"/>
        </w:rPr>
        <w:t xml:space="preserve"> </w:t>
      </w:r>
      <w:r w:rsidR="00672EF9" w:rsidRPr="00672EF9">
        <w:rPr>
          <w:rFonts w:cs="Arial"/>
          <w:sz w:val="22"/>
          <w:szCs w:val="22"/>
        </w:rPr>
        <w:t xml:space="preserve">Financial assistance is generally determined by your total household income as compared to the Federal Poverty Level. </w:t>
      </w:r>
      <w:r w:rsidRPr="00F519DF">
        <w:rPr>
          <w:sz w:val="22"/>
          <w:szCs w:val="22"/>
        </w:rPr>
        <w:t xml:space="preserve">In addition to meeting the Family Income and Family Assets criteria to be eligible for financial assistance in the form of a charity care adjustment under this Policy, a patient also must: ▪ Complete the Financial Assistance Application provided by hospital; ▪ Supply all documentation requested by hospital in accordance with this Policy and the Financial Assistance Application form; ▪ Apply for all public assistance programs requested by the hospital, including, for example, Medicaid, Social Security, disability, etc.; and ▪ Cooperate with hospital in determining whether or not the patient is eligible for financial assistance under this Policy. </w:t>
      </w:r>
      <w:r w:rsidR="00A37098">
        <w:rPr>
          <w:sz w:val="22"/>
          <w:szCs w:val="22"/>
        </w:rPr>
        <w:t xml:space="preserve">The </w:t>
      </w:r>
      <w:r w:rsidRPr="00F519DF">
        <w:rPr>
          <w:sz w:val="22"/>
          <w:szCs w:val="22"/>
        </w:rPr>
        <w:t xml:space="preserve">hospital will provide reasonable assistance to patients in pursuit of public benefits for which they may qualify (such as, for example, Michigan Medicaid). A patient who is a Medicaid beneficiary will be deemed presumptively to qualify for 100% financial assistance in the form of a charity care adjustment. If a patient is presumptively determined to be eligible for 100% financial assistance in the form of a charity care adjustment, the Business Office will notify the patient of the determination in writing, and the patient will not be required to complete a Financial Assistance Application. All applicants for financial assistance in the form of a charity care adjustment should provide proof of Family Income and Family Assets. Upon request of hospital, an applicant may be required to provide copies of the following that are applicable: ▪ Paycheck stubs for at least the last four weeks or a statement from the employer verifying gross wages ▪ IRS Forms W-2 issued during the past year ▪ Most recent IRS Form 1040 ▪ Most recent two months of bank statements for each checking, savings, money market or other bank or investment account ▪ Written statements for the most recent two months for all other income (e.g., unemployment compensation, disability, retirement, etc.) ▪ Unemployment compensation denial letter ▪ Documentation of Family Assets values b. Failure to provide any of these documents may result in a denial of financial assistance, although an applicant will </w:t>
      </w:r>
      <w:r w:rsidRPr="00F519DF">
        <w:rPr>
          <w:sz w:val="22"/>
          <w:szCs w:val="22"/>
        </w:rPr>
        <w:lastRenderedPageBreak/>
        <w:t>not be denied financial assistance based on failure to provide information or documentation that this Policy or the Financial Assistance Application does not explicitly require. If an applicant does not have any of the listed documents to demonstrate Family Income or Family Assets, the applicant may contact the Hospital's billing department.</w:t>
      </w:r>
    </w:p>
    <w:p w14:paraId="020CA360" w14:textId="007BA0A8" w:rsidR="00F519DF" w:rsidRDefault="00F519DF" w:rsidP="00F519DF">
      <w:pPr>
        <w:rPr>
          <w:sz w:val="22"/>
          <w:szCs w:val="22"/>
        </w:rPr>
      </w:pPr>
      <w:r w:rsidRPr="00F519DF">
        <w:rPr>
          <w:sz w:val="22"/>
          <w:szCs w:val="22"/>
        </w:rPr>
        <w:t xml:space="preserve">The completed Financial Assistance Application should be submitted, along with the required supporting documentation, to Behavioral Center of Michigan 4050 E. 12 Mile Rd. Warren, MI 48092 – ATTN: Billing Department Telephone: (586)261-2166  </w:t>
      </w:r>
    </w:p>
    <w:p w14:paraId="21CEF39F" w14:textId="1B64E325" w:rsidR="00A02D14" w:rsidRDefault="00A02D14" w:rsidP="00F519DF">
      <w:pPr>
        <w:rPr>
          <w:sz w:val="22"/>
          <w:szCs w:val="22"/>
        </w:rPr>
      </w:pPr>
    </w:p>
    <w:p w14:paraId="086AD341" w14:textId="0537276A" w:rsidR="00A02D14" w:rsidRDefault="00A02D14" w:rsidP="00F519DF">
      <w:pPr>
        <w:rPr>
          <w:sz w:val="22"/>
          <w:szCs w:val="22"/>
        </w:rPr>
      </w:pPr>
    </w:p>
    <w:p w14:paraId="2FEFD195" w14:textId="1E480893" w:rsidR="00A02D14" w:rsidRDefault="00A02D14" w:rsidP="00F519DF">
      <w:pPr>
        <w:rPr>
          <w:sz w:val="22"/>
          <w:szCs w:val="22"/>
        </w:rPr>
      </w:pPr>
    </w:p>
    <w:p w14:paraId="4C7DBD84" w14:textId="0EDC4570" w:rsidR="00A02D14" w:rsidRDefault="00A02D14" w:rsidP="00F519DF">
      <w:pPr>
        <w:rPr>
          <w:sz w:val="22"/>
          <w:szCs w:val="22"/>
        </w:rPr>
      </w:pPr>
    </w:p>
    <w:p w14:paraId="336098A1" w14:textId="1BCC2225" w:rsidR="00A02D14" w:rsidRDefault="00A02D14" w:rsidP="00F519DF">
      <w:pPr>
        <w:rPr>
          <w:sz w:val="22"/>
          <w:szCs w:val="22"/>
        </w:rPr>
      </w:pPr>
    </w:p>
    <w:p w14:paraId="0146AE20" w14:textId="0F92BC72" w:rsidR="00A02D14" w:rsidRDefault="00A02D14" w:rsidP="00F519DF">
      <w:pPr>
        <w:rPr>
          <w:sz w:val="22"/>
          <w:szCs w:val="22"/>
        </w:rPr>
      </w:pPr>
    </w:p>
    <w:p w14:paraId="0B542B73" w14:textId="37138513" w:rsidR="00A02D14" w:rsidRDefault="00A02D14" w:rsidP="00F519DF">
      <w:pPr>
        <w:rPr>
          <w:sz w:val="22"/>
          <w:szCs w:val="22"/>
        </w:rPr>
      </w:pPr>
    </w:p>
    <w:p w14:paraId="02E50522" w14:textId="27028F44" w:rsidR="00A02D14" w:rsidRDefault="00A02D14" w:rsidP="00F519DF">
      <w:pPr>
        <w:rPr>
          <w:sz w:val="22"/>
          <w:szCs w:val="22"/>
        </w:rPr>
      </w:pPr>
    </w:p>
    <w:p w14:paraId="283EFA19" w14:textId="130D6C1F" w:rsidR="00A02D14" w:rsidRDefault="00A02D14" w:rsidP="00F519DF">
      <w:pPr>
        <w:rPr>
          <w:sz w:val="22"/>
          <w:szCs w:val="22"/>
        </w:rPr>
      </w:pPr>
    </w:p>
    <w:p w14:paraId="04F9AF57" w14:textId="79C85A6B" w:rsidR="00A02D14" w:rsidRDefault="00A02D14" w:rsidP="00F519DF">
      <w:pPr>
        <w:rPr>
          <w:sz w:val="22"/>
          <w:szCs w:val="22"/>
        </w:rPr>
      </w:pPr>
    </w:p>
    <w:p w14:paraId="1641B575" w14:textId="77777777" w:rsidR="00A02D14" w:rsidRDefault="00A02D14" w:rsidP="00F519DF">
      <w:pPr>
        <w:rPr>
          <w:sz w:val="22"/>
          <w:szCs w:val="22"/>
        </w:rPr>
      </w:pPr>
    </w:p>
    <w:p w14:paraId="1FA635B6" w14:textId="466754AB" w:rsidR="00F519DF" w:rsidRDefault="00F519DF" w:rsidP="00F519DF">
      <w:pPr>
        <w:rPr>
          <w:sz w:val="22"/>
          <w:szCs w:val="22"/>
        </w:rPr>
      </w:pPr>
    </w:p>
    <w:p w14:paraId="0527FDE4" w14:textId="1E9D6D36" w:rsidR="00F519DF" w:rsidRPr="00F519DF" w:rsidRDefault="00F519DF" w:rsidP="00F519DF">
      <w:pPr>
        <w:rPr>
          <w:sz w:val="22"/>
          <w:szCs w:val="22"/>
        </w:rPr>
      </w:pPr>
    </w:p>
    <w:p w14:paraId="7023045D" w14:textId="77777777" w:rsidR="00444607" w:rsidRDefault="00444607" w:rsidP="00775C96">
      <w:pPr>
        <w:tabs>
          <w:tab w:val="left" w:pos="468"/>
        </w:tabs>
        <w:rPr>
          <w:rFonts w:cs="Arial"/>
          <w:szCs w:val="24"/>
        </w:rPr>
      </w:pPr>
    </w:p>
    <w:p w14:paraId="4110A421" w14:textId="15756D57" w:rsidR="00ED7627" w:rsidRPr="001F7402" w:rsidRDefault="00ED7627" w:rsidP="00444607">
      <w:pPr>
        <w:tabs>
          <w:tab w:val="left" w:pos="468"/>
        </w:tabs>
        <w:rPr>
          <w:rFonts w:cs="Arial"/>
          <w:sz w:val="22"/>
          <w:szCs w:val="22"/>
        </w:rPr>
      </w:pPr>
      <w:r w:rsidRPr="001F7402">
        <w:rPr>
          <w:rFonts w:cs="Arial"/>
          <w:b/>
          <w:sz w:val="22"/>
          <w:szCs w:val="22"/>
        </w:rPr>
        <w:tab/>
      </w:r>
      <w:r w:rsidRPr="001F7402">
        <w:rPr>
          <w:rFonts w:cs="Arial"/>
          <w:sz w:val="22"/>
          <w:szCs w:val="22"/>
        </w:rPr>
        <w:tab/>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109"/>
        <w:gridCol w:w="6961"/>
      </w:tblGrid>
      <w:tr w:rsidR="00ED7627" w:rsidRPr="001F7402" w14:paraId="28451A06" w14:textId="77777777" w:rsidTr="00A452E1">
        <w:tc>
          <w:tcPr>
            <w:tcW w:w="3168" w:type="dxa"/>
            <w:shd w:val="clear" w:color="auto" w:fill="E6E6E6"/>
          </w:tcPr>
          <w:p w14:paraId="36754E38" w14:textId="77777777" w:rsidR="00ED7627" w:rsidRPr="001F7402" w:rsidRDefault="00D4258A" w:rsidP="00775C96">
            <w:pPr>
              <w:rPr>
                <w:rFonts w:cs="Arial"/>
                <w:b/>
                <w:color w:val="000080"/>
                <w:szCs w:val="22"/>
              </w:rPr>
            </w:pPr>
            <w:r w:rsidRPr="001F7402">
              <w:rPr>
                <w:rFonts w:cs="Arial"/>
                <w:b/>
                <w:color w:val="000080"/>
                <w:sz w:val="22"/>
                <w:szCs w:val="22"/>
              </w:rPr>
              <w:t>Next Review Date:</w:t>
            </w:r>
          </w:p>
        </w:tc>
        <w:tc>
          <w:tcPr>
            <w:tcW w:w="7128" w:type="dxa"/>
            <w:shd w:val="clear" w:color="auto" w:fill="E6E6E6"/>
          </w:tcPr>
          <w:p w14:paraId="4D469814" w14:textId="7F3ACEB9" w:rsidR="00ED7627" w:rsidRPr="001F7402" w:rsidRDefault="00F519DF" w:rsidP="00775C96">
            <w:pPr>
              <w:rPr>
                <w:rFonts w:cs="Arial"/>
                <w:color w:val="000080"/>
                <w:szCs w:val="22"/>
              </w:rPr>
            </w:pPr>
            <w:r>
              <w:rPr>
                <w:rFonts w:cs="Arial"/>
                <w:color w:val="000080"/>
                <w:szCs w:val="22"/>
              </w:rPr>
              <w:t>5/202</w:t>
            </w:r>
            <w:r w:rsidR="00672EF9">
              <w:rPr>
                <w:rFonts w:cs="Arial"/>
                <w:color w:val="000080"/>
                <w:szCs w:val="22"/>
              </w:rPr>
              <w:t>6</w:t>
            </w:r>
          </w:p>
        </w:tc>
      </w:tr>
      <w:tr w:rsidR="00D4258A" w:rsidRPr="001F7402" w14:paraId="7A9DF141" w14:textId="77777777" w:rsidTr="00A452E1">
        <w:tc>
          <w:tcPr>
            <w:tcW w:w="3168" w:type="dxa"/>
            <w:shd w:val="clear" w:color="auto" w:fill="E6E6E6"/>
          </w:tcPr>
          <w:p w14:paraId="7E041B16" w14:textId="77777777" w:rsidR="00D4258A" w:rsidRPr="001F7402" w:rsidRDefault="00D4258A" w:rsidP="00775C96">
            <w:pPr>
              <w:rPr>
                <w:rFonts w:cs="Arial"/>
                <w:b/>
                <w:color w:val="000080"/>
                <w:szCs w:val="22"/>
              </w:rPr>
            </w:pPr>
            <w:r w:rsidRPr="001F7402">
              <w:rPr>
                <w:rFonts w:cs="Arial"/>
                <w:b/>
                <w:color w:val="000080"/>
                <w:sz w:val="22"/>
                <w:szCs w:val="22"/>
              </w:rPr>
              <w:t>Review Date:</w:t>
            </w:r>
          </w:p>
        </w:tc>
        <w:tc>
          <w:tcPr>
            <w:tcW w:w="7128" w:type="dxa"/>
            <w:shd w:val="clear" w:color="auto" w:fill="E6E6E6"/>
          </w:tcPr>
          <w:p w14:paraId="7E90230F" w14:textId="11FCB261" w:rsidR="00D4258A" w:rsidRPr="001F7402" w:rsidRDefault="00D4258A" w:rsidP="00775C96">
            <w:pPr>
              <w:rPr>
                <w:rFonts w:cs="Arial"/>
                <w:color w:val="000080"/>
                <w:szCs w:val="22"/>
              </w:rPr>
            </w:pPr>
          </w:p>
        </w:tc>
      </w:tr>
      <w:tr w:rsidR="00D4258A" w:rsidRPr="001F7402" w14:paraId="446D4006" w14:textId="77777777" w:rsidTr="00A452E1">
        <w:tc>
          <w:tcPr>
            <w:tcW w:w="3168" w:type="dxa"/>
            <w:shd w:val="clear" w:color="auto" w:fill="E6E6E6"/>
          </w:tcPr>
          <w:p w14:paraId="183D3FBB" w14:textId="77777777" w:rsidR="00D4258A" w:rsidRPr="001F7402" w:rsidRDefault="00D4258A" w:rsidP="00775C96">
            <w:pPr>
              <w:rPr>
                <w:rFonts w:cs="Arial"/>
                <w:b/>
                <w:color w:val="000080"/>
                <w:szCs w:val="22"/>
              </w:rPr>
            </w:pPr>
            <w:r w:rsidRPr="001F7402">
              <w:rPr>
                <w:rFonts w:cs="Arial"/>
                <w:b/>
                <w:color w:val="000080"/>
                <w:sz w:val="22"/>
                <w:szCs w:val="22"/>
              </w:rPr>
              <w:t>Revision Date:</w:t>
            </w:r>
          </w:p>
        </w:tc>
        <w:tc>
          <w:tcPr>
            <w:tcW w:w="7128" w:type="dxa"/>
            <w:shd w:val="clear" w:color="auto" w:fill="E6E6E6"/>
          </w:tcPr>
          <w:p w14:paraId="00C298D1" w14:textId="667435C2" w:rsidR="00D4258A" w:rsidRPr="001F7402" w:rsidRDefault="00672EF9" w:rsidP="00775C96">
            <w:pPr>
              <w:rPr>
                <w:rFonts w:cs="Arial"/>
                <w:color w:val="000080"/>
                <w:szCs w:val="22"/>
              </w:rPr>
            </w:pPr>
            <w:r>
              <w:rPr>
                <w:rFonts w:cs="Arial"/>
                <w:color w:val="000080"/>
                <w:szCs w:val="22"/>
              </w:rPr>
              <w:t>1/2025</w:t>
            </w:r>
          </w:p>
        </w:tc>
      </w:tr>
      <w:tr w:rsidR="00ED7627" w:rsidRPr="001F7402" w14:paraId="6953A9EB" w14:textId="77777777" w:rsidTr="00A452E1">
        <w:tc>
          <w:tcPr>
            <w:tcW w:w="3168" w:type="dxa"/>
            <w:shd w:val="clear" w:color="auto" w:fill="E6E6E6"/>
          </w:tcPr>
          <w:p w14:paraId="2E3E0591" w14:textId="77777777" w:rsidR="00ED7627" w:rsidRPr="001F7402" w:rsidRDefault="00ED7627" w:rsidP="00775C96">
            <w:pPr>
              <w:rPr>
                <w:rFonts w:cs="Arial"/>
                <w:b/>
                <w:color w:val="000080"/>
                <w:szCs w:val="22"/>
              </w:rPr>
            </w:pPr>
            <w:r w:rsidRPr="001F7402">
              <w:rPr>
                <w:rFonts w:cs="Arial"/>
                <w:b/>
                <w:color w:val="000080"/>
                <w:sz w:val="22"/>
                <w:szCs w:val="22"/>
              </w:rPr>
              <w:t>Revision History:</w:t>
            </w:r>
          </w:p>
        </w:tc>
        <w:tc>
          <w:tcPr>
            <w:tcW w:w="7128" w:type="dxa"/>
            <w:shd w:val="clear" w:color="auto" w:fill="E6E6E6"/>
          </w:tcPr>
          <w:p w14:paraId="1C685362" w14:textId="77777777" w:rsidR="00ED7627" w:rsidRPr="001F7402" w:rsidRDefault="00ED7627" w:rsidP="00775C96">
            <w:pPr>
              <w:rPr>
                <w:rFonts w:cs="Arial"/>
                <w:color w:val="000080"/>
                <w:szCs w:val="22"/>
              </w:rPr>
            </w:pPr>
          </w:p>
        </w:tc>
      </w:tr>
      <w:tr w:rsidR="00ED7627" w:rsidRPr="001F7402" w14:paraId="60DBB42A" w14:textId="77777777" w:rsidTr="00A452E1">
        <w:tc>
          <w:tcPr>
            <w:tcW w:w="3168" w:type="dxa"/>
            <w:shd w:val="clear" w:color="auto" w:fill="E6E6E6"/>
          </w:tcPr>
          <w:p w14:paraId="49AA9BF9" w14:textId="77777777" w:rsidR="00ED7627" w:rsidRPr="001F7402" w:rsidRDefault="00ED7627" w:rsidP="00775C96">
            <w:pPr>
              <w:rPr>
                <w:rFonts w:cs="Arial"/>
                <w:b/>
                <w:color w:val="000080"/>
                <w:szCs w:val="22"/>
              </w:rPr>
            </w:pPr>
            <w:r w:rsidRPr="001F7402">
              <w:rPr>
                <w:rFonts w:cs="Arial"/>
                <w:b/>
                <w:color w:val="000080"/>
                <w:sz w:val="22"/>
                <w:szCs w:val="22"/>
              </w:rPr>
              <w:t>Key Word Search:</w:t>
            </w:r>
          </w:p>
        </w:tc>
        <w:tc>
          <w:tcPr>
            <w:tcW w:w="7128" w:type="dxa"/>
            <w:shd w:val="clear" w:color="auto" w:fill="E6E6E6"/>
          </w:tcPr>
          <w:p w14:paraId="312E861C" w14:textId="490AE854" w:rsidR="00ED7627" w:rsidRPr="001F7402" w:rsidRDefault="00F519DF" w:rsidP="00775C96">
            <w:pPr>
              <w:rPr>
                <w:rFonts w:cs="Arial"/>
                <w:color w:val="000080"/>
                <w:szCs w:val="22"/>
              </w:rPr>
            </w:pPr>
            <w:r>
              <w:rPr>
                <w:rFonts w:cs="Arial"/>
                <w:color w:val="000080"/>
                <w:szCs w:val="22"/>
              </w:rPr>
              <w:t>Financial Assistance</w:t>
            </w:r>
          </w:p>
        </w:tc>
      </w:tr>
    </w:tbl>
    <w:p w14:paraId="679BA0D9" w14:textId="77777777" w:rsidR="00ED7627" w:rsidRPr="001F7402" w:rsidRDefault="00ED7627" w:rsidP="00775C96">
      <w:pPr>
        <w:rPr>
          <w:rFonts w:cs="Arial"/>
          <w:sz w:val="22"/>
          <w:szCs w:val="22"/>
        </w:rPr>
      </w:pPr>
    </w:p>
    <w:p w14:paraId="58768CC2" w14:textId="6D51C054" w:rsidR="00ED7627" w:rsidRPr="001F7402" w:rsidRDefault="00ED7627" w:rsidP="00775C96">
      <w:pPr>
        <w:rPr>
          <w:rFonts w:cs="Arial"/>
          <w:sz w:val="22"/>
          <w:szCs w:val="22"/>
        </w:rPr>
      </w:pPr>
      <w:r w:rsidRPr="001F7402">
        <w:rPr>
          <w:rFonts w:cs="Arial"/>
          <w:sz w:val="22"/>
          <w:szCs w:val="22"/>
        </w:rPr>
        <w:t xml:space="preserve">This policy is: </w:t>
      </w:r>
      <w:r w:rsidR="00A86949">
        <w:rPr>
          <w:rFonts w:cs="Arial"/>
          <w:sz w:val="22"/>
          <w:szCs w:val="22"/>
        </w:rPr>
        <w:fldChar w:fldCharType="begin">
          <w:ffData>
            <w:name w:val="Check1"/>
            <w:enabled/>
            <w:calcOnExit w:val="0"/>
            <w:checkBox>
              <w:sizeAuto/>
              <w:default w:val="0"/>
            </w:checkBox>
          </w:ffData>
        </w:fldChar>
      </w:r>
      <w:bookmarkStart w:id="0" w:name="Check1"/>
      <w:r w:rsidR="00A86949">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A86949">
        <w:rPr>
          <w:rFonts w:cs="Arial"/>
          <w:sz w:val="22"/>
          <w:szCs w:val="22"/>
        </w:rPr>
        <w:fldChar w:fldCharType="end"/>
      </w:r>
      <w:bookmarkEnd w:id="0"/>
      <w:r w:rsidRPr="001F7402">
        <w:rPr>
          <w:rFonts w:cs="Arial"/>
          <w:sz w:val="22"/>
          <w:szCs w:val="22"/>
        </w:rPr>
        <w:t xml:space="preserve"> New </w:t>
      </w:r>
      <w:r w:rsidR="00F519DF">
        <w:rPr>
          <w:rFonts w:cs="Arial"/>
          <w:sz w:val="22"/>
          <w:szCs w:val="22"/>
        </w:rPr>
        <w:fldChar w:fldCharType="begin">
          <w:ffData>
            <w:name w:val=""/>
            <w:enabled w:val="0"/>
            <w:calcOnExit w:val="0"/>
            <w:checkBox>
              <w:sizeAuto/>
              <w:default w:val="0"/>
            </w:checkBox>
          </w:ffData>
        </w:fldChar>
      </w:r>
      <w:r w:rsidR="00F519DF">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F519DF">
        <w:rPr>
          <w:rFonts w:cs="Arial"/>
          <w:sz w:val="22"/>
          <w:szCs w:val="22"/>
        </w:rPr>
        <w:fldChar w:fldCharType="end"/>
      </w:r>
      <w:r w:rsidRPr="001F7402">
        <w:rPr>
          <w:rFonts w:cs="Arial"/>
          <w:sz w:val="22"/>
          <w:szCs w:val="22"/>
        </w:rPr>
        <w:t xml:space="preserve"> Reviewed </w:t>
      </w:r>
      <w:r w:rsidR="00A86949">
        <w:rPr>
          <w:rFonts w:cs="Arial"/>
          <w:sz w:val="22"/>
          <w:szCs w:val="22"/>
        </w:rPr>
        <w:fldChar w:fldCharType="begin">
          <w:ffData>
            <w:name w:val="Check3"/>
            <w:enabled/>
            <w:calcOnExit w:val="0"/>
            <w:checkBox>
              <w:sizeAuto/>
              <w:default w:val="1"/>
            </w:checkBox>
          </w:ffData>
        </w:fldChar>
      </w:r>
      <w:bookmarkStart w:id="1" w:name="Check3"/>
      <w:r w:rsidR="00A86949">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A86949">
        <w:rPr>
          <w:rFonts w:cs="Arial"/>
          <w:sz w:val="22"/>
          <w:szCs w:val="22"/>
        </w:rPr>
        <w:fldChar w:fldCharType="end"/>
      </w:r>
      <w:bookmarkEnd w:id="1"/>
      <w:r w:rsidRPr="001F7402">
        <w:rPr>
          <w:rFonts w:cs="Arial"/>
          <w:sz w:val="22"/>
          <w:szCs w:val="22"/>
        </w:rPr>
        <w:t xml:space="preserve"> Revised</w:t>
      </w:r>
    </w:p>
    <w:p w14:paraId="58EA4414" w14:textId="77777777" w:rsidR="00ED7627" w:rsidRPr="001F7402" w:rsidRDefault="00ED7627" w:rsidP="00775C96">
      <w:pPr>
        <w:rPr>
          <w:rFonts w:cs="Arial"/>
          <w:sz w:val="22"/>
          <w:szCs w:val="22"/>
        </w:rPr>
      </w:pPr>
    </w:p>
    <w:sectPr w:rsidR="00ED7627" w:rsidRPr="001F7402" w:rsidSect="00842B01">
      <w:headerReference w:type="default" r:id="rId10"/>
      <w:type w:val="continuous"/>
      <w:pgSz w:w="12240" w:h="15840"/>
      <w:pgMar w:top="360" w:right="72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C412" w14:textId="77777777" w:rsidR="002F4D30" w:rsidRDefault="002F4D30">
      <w:r>
        <w:separator/>
      </w:r>
    </w:p>
  </w:endnote>
  <w:endnote w:type="continuationSeparator" w:id="0">
    <w:p w14:paraId="23192F8C" w14:textId="77777777" w:rsidR="002F4D30" w:rsidRDefault="002F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15FA" w14:textId="77777777" w:rsidR="002F4D30" w:rsidRDefault="002F4D30">
      <w:r>
        <w:separator/>
      </w:r>
    </w:p>
  </w:footnote>
  <w:footnote w:type="continuationSeparator" w:id="0">
    <w:p w14:paraId="1070EE3F" w14:textId="77777777" w:rsidR="002F4D30" w:rsidRDefault="002F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7DD0" w14:textId="6778D9C8" w:rsidR="00A02D14" w:rsidRDefault="00A02D14">
    <w:pPr>
      <w:pStyle w:val="Header"/>
    </w:pPr>
  </w:p>
  <w:tbl>
    <w:tblPr>
      <w:tblW w:w="0" w:type="auto"/>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2268"/>
      <w:gridCol w:w="2880"/>
      <w:gridCol w:w="1980"/>
      <w:gridCol w:w="3078"/>
    </w:tblGrid>
    <w:tr w:rsidR="00A02D14" w14:paraId="54A98BE6" w14:textId="77777777" w:rsidTr="00AE44BB">
      <w:trPr>
        <w:cantSplit/>
      </w:trPr>
      <w:tc>
        <w:tcPr>
          <w:tcW w:w="2268" w:type="dxa"/>
          <w:tcBorders>
            <w:top w:val="single" w:sz="4" w:space="0" w:color="000080"/>
          </w:tcBorders>
          <w:shd w:val="clear" w:color="auto" w:fill="E6E6E6"/>
        </w:tcPr>
        <w:p w14:paraId="50248C99" w14:textId="77777777" w:rsidR="00A02D14" w:rsidRDefault="00A02D14" w:rsidP="00A02D14">
          <w:pPr>
            <w:pStyle w:val="Heading2"/>
            <w:numPr>
              <w:ilvl w:val="0"/>
              <w:numId w:val="0"/>
            </w:numPr>
            <w:rPr>
              <w:color w:val="000080"/>
            </w:rPr>
          </w:pPr>
          <w:r>
            <w:rPr>
              <w:color w:val="000080"/>
            </w:rPr>
            <w:t xml:space="preserve">Institution Name: </w:t>
          </w:r>
        </w:p>
      </w:tc>
      <w:tc>
        <w:tcPr>
          <w:tcW w:w="2880" w:type="dxa"/>
          <w:tcBorders>
            <w:top w:val="single" w:sz="4" w:space="0" w:color="000080"/>
          </w:tcBorders>
          <w:shd w:val="clear" w:color="auto" w:fill="E6E6E6"/>
        </w:tcPr>
        <w:p w14:paraId="2532A320" w14:textId="2F04D8DE" w:rsidR="00A02D14" w:rsidRPr="00C01F11" w:rsidRDefault="00A02D14" w:rsidP="00A02D14">
          <w:pPr>
            <w:tabs>
              <w:tab w:val="left" w:pos="270"/>
            </w:tabs>
            <w:rPr>
              <w:b/>
              <w:color w:val="000080"/>
            </w:rPr>
          </w:pPr>
          <w:r>
            <w:rPr>
              <w:b/>
              <w:color w:val="000080"/>
            </w:rPr>
            <w:t>Behavioral Center of Michigan (BCOM) and Samaritan Behavioral Center (SBC)</w:t>
          </w:r>
        </w:p>
      </w:tc>
      <w:tc>
        <w:tcPr>
          <w:tcW w:w="1980" w:type="dxa"/>
          <w:tcBorders>
            <w:top w:val="single" w:sz="4" w:space="0" w:color="000080"/>
          </w:tcBorders>
          <w:shd w:val="clear" w:color="auto" w:fill="E6E6E6"/>
        </w:tcPr>
        <w:p w14:paraId="22A8B86D" w14:textId="77777777" w:rsidR="00A02D14" w:rsidRDefault="00A02D14" w:rsidP="00A02D14">
          <w:pPr>
            <w:pStyle w:val="Heading2"/>
            <w:numPr>
              <w:ilvl w:val="0"/>
              <w:numId w:val="0"/>
            </w:numPr>
            <w:ind w:left="7"/>
            <w:rPr>
              <w:bCs/>
              <w:color w:val="000080"/>
            </w:rPr>
          </w:pPr>
          <w:r w:rsidRPr="00B35659">
            <w:rPr>
              <w:bCs/>
              <w:color w:val="000080"/>
            </w:rPr>
            <w:t>Policy Title:</w:t>
          </w:r>
        </w:p>
      </w:tc>
      <w:tc>
        <w:tcPr>
          <w:tcW w:w="3078" w:type="dxa"/>
          <w:tcBorders>
            <w:top w:val="single" w:sz="4" w:space="0" w:color="000080"/>
          </w:tcBorders>
          <w:shd w:val="clear" w:color="auto" w:fill="E6E6E6"/>
        </w:tcPr>
        <w:p w14:paraId="480DE4D8" w14:textId="72B6E5A2" w:rsidR="00A02D14" w:rsidRDefault="00A02D14" w:rsidP="00A02D14">
          <w:r>
            <w:t>Financial Assistanc</w:t>
          </w:r>
          <w:r w:rsidR="00630B54">
            <w:t>e Plain Language Summary</w:t>
          </w:r>
        </w:p>
        <w:p w14:paraId="20ECA60E" w14:textId="77777777" w:rsidR="00630B54" w:rsidRDefault="00630B54" w:rsidP="00630B54"/>
        <w:p w14:paraId="3DB7F11C" w14:textId="77777777" w:rsidR="00630B54" w:rsidRPr="00630B54" w:rsidRDefault="00630B54" w:rsidP="00630B54">
          <w:pPr>
            <w:jc w:val="center"/>
          </w:pPr>
        </w:p>
      </w:tc>
    </w:tr>
    <w:tr w:rsidR="00A02D14" w14:paraId="0FDF1428" w14:textId="77777777" w:rsidTr="00AE44BB">
      <w:tc>
        <w:tcPr>
          <w:tcW w:w="2268" w:type="dxa"/>
          <w:shd w:val="clear" w:color="auto" w:fill="E6E6E6"/>
        </w:tcPr>
        <w:p w14:paraId="0768D066" w14:textId="77777777" w:rsidR="00A02D14" w:rsidRPr="0041233A" w:rsidRDefault="00A02D14" w:rsidP="00A02D14">
          <w:pPr>
            <w:pStyle w:val="Heading2"/>
            <w:numPr>
              <w:ilvl w:val="0"/>
              <w:numId w:val="0"/>
            </w:numPr>
            <w:rPr>
              <w:color w:val="000080"/>
            </w:rPr>
          </w:pPr>
          <w:r w:rsidRPr="0041233A">
            <w:rPr>
              <w:color w:val="000080"/>
            </w:rPr>
            <w:t>Policy Number:</w:t>
          </w:r>
        </w:p>
      </w:tc>
      <w:tc>
        <w:tcPr>
          <w:tcW w:w="2880" w:type="dxa"/>
          <w:shd w:val="clear" w:color="auto" w:fill="E6E6E6"/>
        </w:tcPr>
        <w:p w14:paraId="5B0F845D" w14:textId="75570FEE" w:rsidR="00A02D14" w:rsidRPr="00C01F11" w:rsidRDefault="00A02D14" w:rsidP="00A02D14">
          <w:pPr>
            <w:jc w:val="center"/>
            <w:rPr>
              <w:b/>
              <w:color w:val="000080"/>
              <w:szCs w:val="24"/>
            </w:rPr>
          </w:pPr>
        </w:p>
      </w:tc>
      <w:tc>
        <w:tcPr>
          <w:tcW w:w="1980" w:type="dxa"/>
          <w:shd w:val="clear" w:color="auto" w:fill="E6E6E6"/>
        </w:tcPr>
        <w:p w14:paraId="7D55BD2C" w14:textId="77777777" w:rsidR="00A02D14" w:rsidRPr="00C01F11" w:rsidRDefault="00A02D14" w:rsidP="00A02D14">
          <w:r>
            <w:rPr>
              <w:b/>
              <w:color w:val="000080"/>
            </w:rPr>
            <w:t>Effective Date</w:t>
          </w:r>
          <w:r w:rsidRPr="00C01F11">
            <w:rPr>
              <w:b/>
              <w:color w:val="000080"/>
            </w:rPr>
            <w:t>:</w:t>
          </w:r>
        </w:p>
      </w:tc>
      <w:tc>
        <w:tcPr>
          <w:tcW w:w="3078" w:type="dxa"/>
          <w:shd w:val="clear" w:color="auto" w:fill="E6E6E6"/>
        </w:tcPr>
        <w:p w14:paraId="5D473592" w14:textId="36DCF0AF" w:rsidR="00A02D14" w:rsidRDefault="00A02D14" w:rsidP="00A02D14">
          <w:r>
            <w:t>4/1/2022</w:t>
          </w:r>
        </w:p>
      </w:tc>
    </w:tr>
    <w:tr w:rsidR="00A02D14" w14:paraId="2D5870C4" w14:textId="77777777" w:rsidTr="00AE44BB">
      <w:tc>
        <w:tcPr>
          <w:tcW w:w="2268" w:type="dxa"/>
          <w:tcBorders>
            <w:bottom w:val="single" w:sz="4" w:space="0" w:color="000080"/>
          </w:tcBorders>
          <w:shd w:val="clear" w:color="auto" w:fill="E6E6E6"/>
        </w:tcPr>
        <w:p w14:paraId="7C150E81" w14:textId="77777777" w:rsidR="00A02D14" w:rsidRPr="0041233A" w:rsidRDefault="00A02D14" w:rsidP="00A02D14">
          <w:pPr>
            <w:pStyle w:val="Heading2"/>
            <w:numPr>
              <w:ilvl w:val="0"/>
              <w:numId w:val="0"/>
            </w:numPr>
            <w:rPr>
              <w:color w:val="000080"/>
            </w:rPr>
          </w:pPr>
          <w:r>
            <w:rPr>
              <w:color w:val="000080"/>
            </w:rPr>
            <w:t>Department:</w:t>
          </w:r>
        </w:p>
      </w:tc>
      <w:tc>
        <w:tcPr>
          <w:tcW w:w="7938" w:type="dxa"/>
          <w:gridSpan w:val="3"/>
          <w:tcBorders>
            <w:bottom w:val="single" w:sz="4" w:space="0" w:color="000080"/>
          </w:tcBorders>
          <w:shd w:val="clear" w:color="auto" w:fill="E6E6E6"/>
        </w:tcPr>
        <w:p w14:paraId="4EDA721C" w14:textId="55C75AB4" w:rsidR="00A02D14" w:rsidRDefault="00A02D14" w:rsidP="00A02D14">
          <w:r>
            <w:t>Financial Services</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5594269">
    <w:abstractNumId w:val="29"/>
  </w:num>
  <w:num w:numId="2" w16cid:durableId="12583844">
    <w:abstractNumId w:val="21"/>
  </w:num>
  <w:num w:numId="3" w16cid:durableId="892959375">
    <w:abstractNumId w:val="37"/>
  </w:num>
  <w:num w:numId="4" w16cid:durableId="787897410">
    <w:abstractNumId w:val="32"/>
  </w:num>
  <w:num w:numId="5" w16cid:durableId="1217861071">
    <w:abstractNumId w:val="23"/>
  </w:num>
  <w:num w:numId="6" w16cid:durableId="1885756025">
    <w:abstractNumId w:val="26"/>
  </w:num>
  <w:num w:numId="7" w16cid:durableId="1584340773">
    <w:abstractNumId w:val="28"/>
  </w:num>
  <w:num w:numId="8" w16cid:durableId="1889338578">
    <w:abstractNumId w:val="38"/>
  </w:num>
  <w:num w:numId="9" w16cid:durableId="1673407861">
    <w:abstractNumId w:val="16"/>
  </w:num>
  <w:num w:numId="10" w16cid:durableId="110323636">
    <w:abstractNumId w:val="25"/>
  </w:num>
  <w:num w:numId="11" w16cid:durableId="841700869">
    <w:abstractNumId w:val="11"/>
  </w:num>
  <w:num w:numId="12" w16cid:durableId="1407066634">
    <w:abstractNumId w:val="30"/>
  </w:num>
  <w:num w:numId="13" w16cid:durableId="1133712458">
    <w:abstractNumId w:val="19"/>
  </w:num>
  <w:num w:numId="14" w16cid:durableId="1591961582">
    <w:abstractNumId w:val="41"/>
  </w:num>
  <w:num w:numId="15" w16cid:durableId="1737124636">
    <w:abstractNumId w:val="24"/>
  </w:num>
  <w:num w:numId="16" w16cid:durableId="38087989">
    <w:abstractNumId w:val="39"/>
  </w:num>
  <w:num w:numId="17" w16cid:durableId="1364549997">
    <w:abstractNumId w:val="13"/>
  </w:num>
  <w:num w:numId="18" w16cid:durableId="1479422496">
    <w:abstractNumId w:val="33"/>
  </w:num>
  <w:num w:numId="19" w16cid:durableId="219365930">
    <w:abstractNumId w:val="27"/>
  </w:num>
  <w:num w:numId="20" w16cid:durableId="514611023">
    <w:abstractNumId w:val="42"/>
  </w:num>
  <w:num w:numId="21" w16cid:durableId="982320646">
    <w:abstractNumId w:val="33"/>
  </w:num>
  <w:num w:numId="22" w16cid:durableId="518131020">
    <w:abstractNumId w:val="44"/>
  </w:num>
  <w:num w:numId="23" w16cid:durableId="1002515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462933">
    <w:abstractNumId w:val="33"/>
  </w:num>
  <w:num w:numId="25" w16cid:durableId="332074226">
    <w:abstractNumId w:val="12"/>
  </w:num>
  <w:num w:numId="26" w16cid:durableId="1087270942">
    <w:abstractNumId w:val="15"/>
  </w:num>
  <w:num w:numId="27" w16cid:durableId="35936029">
    <w:abstractNumId w:val="18"/>
  </w:num>
  <w:num w:numId="28" w16cid:durableId="1066492177">
    <w:abstractNumId w:val="14"/>
  </w:num>
  <w:num w:numId="29" w16cid:durableId="2103646729">
    <w:abstractNumId w:val="40"/>
  </w:num>
  <w:num w:numId="30" w16cid:durableId="811602361">
    <w:abstractNumId w:val="34"/>
  </w:num>
  <w:num w:numId="31" w16cid:durableId="700476068">
    <w:abstractNumId w:val="43"/>
  </w:num>
  <w:num w:numId="32" w16cid:durableId="240916600">
    <w:abstractNumId w:val="20"/>
  </w:num>
  <w:num w:numId="33" w16cid:durableId="288632741">
    <w:abstractNumId w:val="17"/>
  </w:num>
  <w:num w:numId="34" w16cid:durableId="1584027637">
    <w:abstractNumId w:val="45"/>
  </w:num>
  <w:num w:numId="35" w16cid:durableId="272060325">
    <w:abstractNumId w:val="10"/>
  </w:num>
  <w:num w:numId="36" w16cid:durableId="179246497">
    <w:abstractNumId w:val="8"/>
  </w:num>
  <w:num w:numId="37" w16cid:durableId="265961280">
    <w:abstractNumId w:val="7"/>
  </w:num>
  <w:num w:numId="38" w16cid:durableId="1592465162">
    <w:abstractNumId w:val="6"/>
  </w:num>
  <w:num w:numId="39" w16cid:durableId="1040862239">
    <w:abstractNumId w:val="5"/>
  </w:num>
  <w:num w:numId="40" w16cid:durableId="1051733301">
    <w:abstractNumId w:val="9"/>
  </w:num>
  <w:num w:numId="41" w16cid:durableId="1355495936">
    <w:abstractNumId w:val="4"/>
  </w:num>
  <w:num w:numId="42" w16cid:durableId="1063211163">
    <w:abstractNumId w:val="3"/>
  </w:num>
  <w:num w:numId="43" w16cid:durableId="1848980241">
    <w:abstractNumId w:val="2"/>
  </w:num>
  <w:num w:numId="44" w16cid:durableId="358168363">
    <w:abstractNumId w:val="1"/>
  </w:num>
  <w:num w:numId="45" w16cid:durableId="9113746">
    <w:abstractNumId w:val="0"/>
  </w:num>
  <w:num w:numId="46" w16cid:durableId="1041058108">
    <w:abstractNumId w:val="35"/>
  </w:num>
  <w:num w:numId="47" w16cid:durableId="1448620129">
    <w:abstractNumId w:val="36"/>
  </w:num>
  <w:num w:numId="48" w16cid:durableId="597493720">
    <w:abstractNumId w:val="22"/>
  </w:num>
  <w:num w:numId="49" w16cid:durableId="17648845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14"/>
    <w:rsid w:val="00012F5D"/>
    <w:rsid w:val="00024762"/>
    <w:rsid w:val="0006586C"/>
    <w:rsid w:val="000738F4"/>
    <w:rsid w:val="0009260E"/>
    <w:rsid w:val="000B41D2"/>
    <w:rsid w:val="000C7508"/>
    <w:rsid w:val="000D7906"/>
    <w:rsid w:val="000E7512"/>
    <w:rsid w:val="000F0C0B"/>
    <w:rsid w:val="00115457"/>
    <w:rsid w:val="00146A1E"/>
    <w:rsid w:val="001471DE"/>
    <w:rsid w:val="00170508"/>
    <w:rsid w:val="001937AF"/>
    <w:rsid w:val="001A6C9F"/>
    <w:rsid w:val="001F7402"/>
    <w:rsid w:val="001F7FBB"/>
    <w:rsid w:val="00206C59"/>
    <w:rsid w:val="00213C43"/>
    <w:rsid w:val="0021762D"/>
    <w:rsid w:val="0022611A"/>
    <w:rsid w:val="002312F1"/>
    <w:rsid w:val="00237152"/>
    <w:rsid w:val="0025581E"/>
    <w:rsid w:val="002605E6"/>
    <w:rsid w:val="00281A87"/>
    <w:rsid w:val="002B2AE3"/>
    <w:rsid w:val="002B439A"/>
    <w:rsid w:val="002B6A2B"/>
    <w:rsid w:val="002C390C"/>
    <w:rsid w:val="002D5378"/>
    <w:rsid w:val="002E5BDF"/>
    <w:rsid w:val="002F2BFE"/>
    <w:rsid w:val="002F4D30"/>
    <w:rsid w:val="00321E34"/>
    <w:rsid w:val="003C50C9"/>
    <w:rsid w:val="003F61F2"/>
    <w:rsid w:val="00401583"/>
    <w:rsid w:val="0041233A"/>
    <w:rsid w:val="00444607"/>
    <w:rsid w:val="00445685"/>
    <w:rsid w:val="00446FD4"/>
    <w:rsid w:val="0049167B"/>
    <w:rsid w:val="004B6A24"/>
    <w:rsid w:val="005557EC"/>
    <w:rsid w:val="005640B4"/>
    <w:rsid w:val="005E0F6D"/>
    <w:rsid w:val="00630B54"/>
    <w:rsid w:val="006370B8"/>
    <w:rsid w:val="00657ADE"/>
    <w:rsid w:val="00667C85"/>
    <w:rsid w:val="00672EF9"/>
    <w:rsid w:val="006873B4"/>
    <w:rsid w:val="00692AC3"/>
    <w:rsid w:val="006B62EF"/>
    <w:rsid w:val="006C33DE"/>
    <w:rsid w:val="006C643B"/>
    <w:rsid w:val="006F5F0D"/>
    <w:rsid w:val="00775C96"/>
    <w:rsid w:val="007963C1"/>
    <w:rsid w:val="007C57B8"/>
    <w:rsid w:val="007F122A"/>
    <w:rsid w:val="00842B01"/>
    <w:rsid w:val="00845A06"/>
    <w:rsid w:val="00852707"/>
    <w:rsid w:val="00852FC1"/>
    <w:rsid w:val="00857A9B"/>
    <w:rsid w:val="008640AC"/>
    <w:rsid w:val="00867CBF"/>
    <w:rsid w:val="00876BFC"/>
    <w:rsid w:val="008870B1"/>
    <w:rsid w:val="00892AC5"/>
    <w:rsid w:val="008B2300"/>
    <w:rsid w:val="008B2574"/>
    <w:rsid w:val="00906DC4"/>
    <w:rsid w:val="009072BF"/>
    <w:rsid w:val="00916939"/>
    <w:rsid w:val="00921BD0"/>
    <w:rsid w:val="009247C3"/>
    <w:rsid w:val="009418FD"/>
    <w:rsid w:val="009505A4"/>
    <w:rsid w:val="00967491"/>
    <w:rsid w:val="00974B2E"/>
    <w:rsid w:val="00977538"/>
    <w:rsid w:val="009778DF"/>
    <w:rsid w:val="00A02D14"/>
    <w:rsid w:val="00A2081D"/>
    <w:rsid w:val="00A22BF2"/>
    <w:rsid w:val="00A35F1F"/>
    <w:rsid w:val="00A37098"/>
    <w:rsid w:val="00A452E1"/>
    <w:rsid w:val="00A55BE1"/>
    <w:rsid w:val="00A751FA"/>
    <w:rsid w:val="00A767F2"/>
    <w:rsid w:val="00A86949"/>
    <w:rsid w:val="00AB7842"/>
    <w:rsid w:val="00AE069A"/>
    <w:rsid w:val="00AF771C"/>
    <w:rsid w:val="00B14484"/>
    <w:rsid w:val="00B35659"/>
    <w:rsid w:val="00B35E1F"/>
    <w:rsid w:val="00B5521E"/>
    <w:rsid w:val="00B63BE3"/>
    <w:rsid w:val="00BB48BF"/>
    <w:rsid w:val="00BC3FBB"/>
    <w:rsid w:val="00BE48B8"/>
    <w:rsid w:val="00C01F11"/>
    <w:rsid w:val="00C05A53"/>
    <w:rsid w:val="00C40F3C"/>
    <w:rsid w:val="00C4343D"/>
    <w:rsid w:val="00C53CEC"/>
    <w:rsid w:val="00C66276"/>
    <w:rsid w:val="00C7295F"/>
    <w:rsid w:val="00C7671F"/>
    <w:rsid w:val="00C84815"/>
    <w:rsid w:val="00CB5BF4"/>
    <w:rsid w:val="00CD1B80"/>
    <w:rsid w:val="00D0320C"/>
    <w:rsid w:val="00D15D07"/>
    <w:rsid w:val="00D1624E"/>
    <w:rsid w:val="00D4258A"/>
    <w:rsid w:val="00D42883"/>
    <w:rsid w:val="00D52861"/>
    <w:rsid w:val="00D8273F"/>
    <w:rsid w:val="00D94198"/>
    <w:rsid w:val="00DC3E7B"/>
    <w:rsid w:val="00E11DF2"/>
    <w:rsid w:val="00E176E7"/>
    <w:rsid w:val="00E31EC9"/>
    <w:rsid w:val="00EA1D82"/>
    <w:rsid w:val="00EA5F43"/>
    <w:rsid w:val="00EC08BB"/>
    <w:rsid w:val="00ED7627"/>
    <w:rsid w:val="00EF1F30"/>
    <w:rsid w:val="00EF6414"/>
    <w:rsid w:val="00F10F4A"/>
    <w:rsid w:val="00F37168"/>
    <w:rsid w:val="00F434DB"/>
    <w:rsid w:val="00F47040"/>
    <w:rsid w:val="00F519DF"/>
    <w:rsid w:val="00F53D23"/>
    <w:rsid w:val="00F66DD7"/>
    <w:rsid w:val="00F75DD4"/>
    <w:rsid w:val="00F82E16"/>
    <w:rsid w:val="00FC0D85"/>
    <w:rsid w:val="00FD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6FA97-E453-4E28-928D-F61D5C4B609E}">
  <ds:schemaRefs>
    <ds:schemaRef ds:uri="http://schemas.microsoft.com/sharepoint/v3/contenttype/forms"/>
  </ds:schemaRefs>
</ds:datastoreItem>
</file>

<file path=customXml/itemProps3.xml><?xml version="1.0" encoding="utf-8"?>
<ds:datastoreItem xmlns:ds="http://schemas.openxmlformats.org/officeDocument/2006/customXml" ds:itemID="{135CD584-177D-4DCE-BD3B-89E2398FA3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Institution Name:</vt:lpstr>
    </vt:vector>
  </TitlesOfParts>
  <Company>Grizli777</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Michael Grodus</cp:lastModifiedBy>
  <cp:revision>4</cp:revision>
  <cp:lastPrinted>2011-01-31T17:32:00Z</cp:lastPrinted>
  <dcterms:created xsi:type="dcterms:W3CDTF">2025-06-30T17:56:00Z</dcterms:created>
  <dcterms:modified xsi:type="dcterms:W3CDTF">2025-06-30T18:21:00Z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